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2E083" w14:textId="77777777" w:rsidR="000C2BD0" w:rsidRPr="000C2BD0" w:rsidRDefault="000C2BD0" w:rsidP="000C2BD0">
      <w:pPr>
        <w:tabs>
          <w:tab w:val="left" w:pos="993"/>
        </w:tabs>
        <w:ind w:firstLine="709"/>
        <w:jc w:val="right"/>
        <w:rPr>
          <w:rFonts w:eastAsia="Calibri"/>
          <w:iCs/>
          <w:sz w:val="24"/>
          <w:szCs w:val="24"/>
        </w:rPr>
      </w:pPr>
      <w:r w:rsidRPr="000C2BD0">
        <w:rPr>
          <w:iCs/>
          <w:sz w:val="24"/>
          <w:szCs w:val="24"/>
        </w:rPr>
        <w:t>Приложение 9</w:t>
      </w:r>
    </w:p>
    <w:p w14:paraId="3DBBD044" w14:textId="77777777" w:rsidR="000C2BD0" w:rsidRPr="000C2BD0" w:rsidRDefault="000C2BD0" w:rsidP="000C2BD0">
      <w:pPr>
        <w:tabs>
          <w:tab w:val="left" w:pos="993"/>
        </w:tabs>
        <w:ind w:firstLine="709"/>
        <w:jc w:val="right"/>
        <w:rPr>
          <w:rFonts w:eastAsia="Calibri"/>
          <w:b/>
          <w:bCs/>
          <w:iCs/>
          <w:sz w:val="24"/>
          <w:szCs w:val="24"/>
        </w:rPr>
      </w:pPr>
    </w:p>
    <w:p w14:paraId="69318FE6" w14:textId="77777777" w:rsidR="000C2BD0" w:rsidRPr="000C2BD0" w:rsidRDefault="000C2BD0" w:rsidP="000C2BD0">
      <w:pPr>
        <w:ind w:right="4" w:firstLine="0"/>
        <w:jc w:val="center"/>
        <w:rPr>
          <w:b/>
          <w:bCs/>
          <w:sz w:val="24"/>
          <w:szCs w:val="24"/>
        </w:rPr>
      </w:pPr>
      <w:r w:rsidRPr="000C2BD0">
        <w:rPr>
          <w:b/>
          <w:bCs/>
          <w:sz w:val="24"/>
          <w:szCs w:val="24"/>
        </w:rPr>
        <w:t>Информация, подлежащая включению в объявление об изменении</w:t>
      </w:r>
    </w:p>
    <w:p w14:paraId="2D6A6A89" w14:textId="77777777" w:rsidR="000C2BD0" w:rsidRPr="000C2BD0" w:rsidRDefault="000C2BD0" w:rsidP="000C2BD0">
      <w:pPr>
        <w:ind w:right="4" w:firstLine="0"/>
        <w:jc w:val="center"/>
        <w:rPr>
          <w:rFonts w:eastAsia="Calibri"/>
          <w:b/>
          <w:bCs/>
          <w:iCs/>
          <w:sz w:val="24"/>
          <w:szCs w:val="24"/>
        </w:rPr>
      </w:pPr>
      <w:r w:rsidRPr="000C2BD0">
        <w:rPr>
          <w:b/>
          <w:bCs/>
          <w:sz w:val="24"/>
          <w:szCs w:val="24"/>
        </w:rPr>
        <w:t>договора о государственной закупке в течение его срока действия</w:t>
      </w:r>
    </w:p>
    <w:p w14:paraId="6685C689" w14:textId="77777777" w:rsidR="000C2BD0" w:rsidRPr="000C2BD0" w:rsidRDefault="000C2BD0" w:rsidP="000C2BD0">
      <w:pPr>
        <w:tabs>
          <w:tab w:val="left" w:pos="993"/>
        </w:tabs>
        <w:ind w:left="567" w:right="1985" w:firstLine="0"/>
        <w:jc w:val="center"/>
        <w:rPr>
          <w:rFonts w:eastAsia="Calibri"/>
          <w:b/>
          <w:bCs/>
          <w:iCs/>
          <w:sz w:val="24"/>
          <w:szCs w:val="24"/>
        </w:rPr>
      </w:pPr>
    </w:p>
    <w:p w14:paraId="351E5B86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 xml:space="preserve">1. Наименование, государственный идентификационный номер (IDNO), физический адрес, код NUTS, номер телефона, номер факса, адрес электронной почты и интернет-адрес закупающего органа и, если они отличаются, – сведения о подразделении, в котором может быть получена дополнительная информация. </w:t>
      </w:r>
    </w:p>
    <w:p w14:paraId="68A9F0C7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 xml:space="preserve">2. Коды CPV. </w:t>
      </w:r>
    </w:p>
    <w:p w14:paraId="5A86FEF9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 xml:space="preserve">3. Код NUTS основного места выполнения работ в случае договоров о государственных закупках работ или код NUTS основного места поставки товаров или оказания услуг в случае договоров о государственных закупках товаров или услуг. </w:t>
      </w:r>
    </w:p>
    <w:p w14:paraId="07F079E4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>4. Описание государственной закупки до и после изменения: характер и количество или стоимость товаров, характер и масштаб услуг и работ. Если договор разделен на лоты, такая информация должна быть предоставлена по каждому лоту. При необходимости описание вариантов.</w:t>
      </w:r>
    </w:p>
    <w:p w14:paraId="2F80D4BB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>5. При необходимости повышение цены в результате изменения договора.</w:t>
      </w:r>
    </w:p>
    <w:p w14:paraId="7C6DC68C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>6. Описание обстоятельств, вызвавших необходимость внесения изменений в договор.</w:t>
      </w:r>
    </w:p>
    <w:p w14:paraId="1A66E70B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>7. Дата решения о присуждении договора.</w:t>
      </w:r>
    </w:p>
    <w:p w14:paraId="78BA3FF9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>8. При необходимости имя, физический адрес, код NUTS, номер телефона, номер факса, адрес электронной почты и интернет-адрес нового экономического оператора/новых экономических операторов.</w:t>
      </w:r>
    </w:p>
    <w:p w14:paraId="1C352F64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 xml:space="preserve">9. Указывается, относится ли соответствующий договор к проекту и/или программе, финансируемым за счет средств Европейского Союза и/или одного из государств – членов ЕС. </w:t>
      </w:r>
    </w:p>
    <w:p w14:paraId="3F67D397" w14:textId="77777777" w:rsidR="000C2BD0" w:rsidRPr="000C2BD0" w:rsidRDefault="000C2BD0" w:rsidP="000C2BD0">
      <w:pPr>
        <w:tabs>
          <w:tab w:val="left" w:pos="993"/>
        </w:tabs>
        <w:ind w:firstLine="709"/>
        <w:rPr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 xml:space="preserve">10. Наименование и адрес надзорного органа и органа по разрешению споров и при необходимости органа по медиации. Точная информация о сроках процедур оспаривания или при необходимости наименование, адрес, номер телефона, номер факса и адрес электронной почты подразделения, в котором может быть получена такая информация. </w:t>
      </w:r>
    </w:p>
    <w:p w14:paraId="0D2D0D8B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 xml:space="preserve">11. Дата/даты и ссылка/ссылки на предыдущие публикации в Официальном журнале Европейского Союза о </w:t>
      </w:r>
      <w:r w:rsidRPr="000C2BD0">
        <w:rPr>
          <w:sz w:val="24"/>
          <w:szCs w:val="24"/>
        </w:rPr>
        <w:t>договоре о государственной закупке/договорах о государственных закупках</w:t>
      </w:r>
      <w:r w:rsidRPr="000C2BD0">
        <w:rPr>
          <w:bCs/>
          <w:iCs/>
          <w:sz w:val="24"/>
          <w:szCs w:val="24"/>
        </w:rPr>
        <w:t>, к которым относится соответствующее объявление.</w:t>
      </w:r>
    </w:p>
    <w:p w14:paraId="146D3E21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 xml:space="preserve">12. Дата передачи для опубликования объявления об изменении </w:t>
      </w:r>
      <w:r w:rsidRPr="000C2BD0">
        <w:rPr>
          <w:sz w:val="24"/>
          <w:szCs w:val="24"/>
        </w:rPr>
        <w:t>договора о государственной закупке/договоров о государственных закупках</w:t>
      </w:r>
      <w:r w:rsidRPr="000C2BD0">
        <w:rPr>
          <w:bCs/>
          <w:iCs/>
          <w:sz w:val="24"/>
          <w:szCs w:val="24"/>
        </w:rPr>
        <w:t>, к которым относится соответствующее объявление.</w:t>
      </w:r>
    </w:p>
    <w:p w14:paraId="3DF5270B" w14:textId="77777777" w:rsidR="000C2BD0" w:rsidRPr="000C2BD0" w:rsidRDefault="000C2BD0" w:rsidP="000C2BD0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0C2BD0">
        <w:rPr>
          <w:bCs/>
          <w:iCs/>
          <w:sz w:val="24"/>
          <w:szCs w:val="24"/>
        </w:rPr>
        <w:t>13. Другая актуальная информация.</w:t>
      </w:r>
    </w:p>
    <w:p w14:paraId="14FC177A" w14:textId="77777777" w:rsidR="00B32DE8" w:rsidRPr="000C2BD0" w:rsidRDefault="00B32DE8">
      <w:pPr>
        <w:rPr>
          <w:sz w:val="24"/>
          <w:szCs w:val="24"/>
        </w:rPr>
      </w:pPr>
    </w:p>
    <w:sectPr w:rsidR="00B32DE8" w:rsidRPr="000C2BD0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BD0"/>
    <w:rsid w:val="000C2BD0"/>
    <w:rsid w:val="0058181B"/>
    <w:rsid w:val="005C0197"/>
    <w:rsid w:val="006D1F82"/>
    <w:rsid w:val="00812258"/>
    <w:rsid w:val="00B32DE8"/>
    <w:rsid w:val="00CC2EF1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6FB0"/>
  <w15:chartTrackingRefBased/>
  <w15:docId w15:val="{70AB65EF-831A-47D4-A0A7-4CBED6AB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B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C2BD0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2BD0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2BD0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2BD0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2BD0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2BD0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2BD0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2BD0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2BD0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BD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C2B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C2BD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C2BD0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C2BD0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C2BD0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0C2BD0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C2BD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C2BD0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0C2BD0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C2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2BD0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C2B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C2BD0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C2BD0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0C2BD0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0C2BD0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C2BD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C2BD0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0C2BD0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1965</Characters>
  <Application>Microsoft Office Word</Application>
  <DocSecurity>0</DocSecurity>
  <Lines>163</Lines>
  <Paragraphs>65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2026-02-12T09:05:00Z</dcterms:created>
  <dcterms:modified xsi:type="dcterms:W3CDTF">2026-02-12T09:05:00Z</dcterms:modified>
</cp:coreProperties>
</file>